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Jackson Gardner</w:t>
      </w:r>
    </w:p>
    <w:p w:rsidR="00000000" w:rsidDel="00000000" w:rsidP="00000000" w:rsidRDefault="00000000" w:rsidRPr="00000000" w14:paraId="0000000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Midterm Essay</w:t>
      </w:r>
    </w:p>
    <w:p w:rsidR="00000000" w:rsidDel="00000000" w:rsidP="00000000" w:rsidRDefault="00000000" w:rsidRPr="00000000" w14:paraId="0000000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April 2, 2020</w:t>
      </w:r>
    </w:p>
    <w:p w:rsidR="00000000" w:rsidDel="00000000" w:rsidP="00000000" w:rsidRDefault="00000000" w:rsidRPr="00000000" w14:paraId="0000000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Professor Tami Weiss</w:t>
      </w:r>
    </w:p>
    <w:p w:rsidR="00000000" w:rsidDel="00000000" w:rsidP="00000000" w:rsidRDefault="00000000" w:rsidRPr="00000000" w14:paraId="0000001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ARTED 208: Contemporary Theory and Curricular Practices in Art Education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spacing w:line="240" w:lineRule="auto"/>
        <w:ind w:left="0" w:firstLine="0"/>
        <w:rPr/>
      </w:pPr>
      <w:r w:rsidDel="00000000" w:rsidR="00000000" w:rsidRPr="00000000">
        <w:rPr>
          <w:rtl w:val="0"/>
        </w:rPr>
      </w:r>
    </w:p>
    <w:p w:rsidR="00000000" w:rsidDel="00000000" w:rsidP="00000000" w:rsidRDefault="00000000" w:rsidRPr="00000000" w14:paraId="00000029">
      <w:pPr>
        <w:spacing w:line="24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deciding to become a teacher, my goal was to earn an MFA and become an art professor. I decided to change my focus on becoming a high school art teacher out of fear of not being able to find work. I saw becoming a classroom teacher more as a compromise for what I truly wanted to be. The fear I’ve had is that teaching children won’t be as intellectually investing as working with adults who’ve decided to make art a part of a career. Over time, I’ve realized that just because the students I teach are younger, that doesn’t mean that it isn’t as rewarding. In fact, one could argue that being a teacher allows for more education than what a professor would provide. After taking several art courses here at Stout, I’ve realized that while my professors have taught me a lot, it was really me who was teaching myself. While this may be a controversial statement, I assert that professors are not teachers. Not only do most art professors lack teacher training, but their main purpose is to only guide students in a general direction. Once someone has become an adult, they are majorly expected to be self-directed learners such as myself. Being a teacher is much more than being an “information deliverer.” A truly effective teacher is someone who knows what their students know and how they can learn more.</w:t>
      </w:r>
    </w:p>
    <w:p w:rsidR="00000000" w:rsidDel="00000000" w:rsidP="00000000" w:rsidRDefault="00000000" w:rsidRPr="00000000" w14:paraId="0000002D">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Encountering DBAE for the first time wasn’t a pleasant experience. The goal of discipline based art education is to not only promote art making, but aesthetics, history, and criticism. To me, it was trying to justify art education by making it less “art.” While certain aspects such as history and culture are very indicative of art and how it fits into society, it didn’t align with what I valued in art. If I were to be a strong DBAE teacher would I be an art teacher or really just a social studies </w:t>
      </w:r>
      <w:r w:rsidDel="00000000" w:rsidR="00000000" w:rsidRPr="00000000">
        <w:rPr>
          <w:rFonts w:ascii="Times New Roman" w:cs="Times New Roman" w:eastAsia="Times New Roman" w:hAnsi="Times New Roman"/>
          <w:i w:val="1"/>
          <w:sz w:val="24"/>
          <w:szCs w:val="24"/>
          <w:rtl w:val="0"/>
        </w:rPr>
        <w:t xml:space="preserve">of</w:t>
      </w:r>
      <w:r w:rsidDel="00000000" w:rsidR="00000000" w:rsidRPr="00000000">
        <w:rPr>
          <w:rFonts w:ascii="Times New Roman" w:cs="Times New Roman" w:eastAsia="Times New Roman" w:hAnsi="Times New Roman"/>
          <w:sz w:val="24"/>
          <w:szCs w:val="24"/>
          <w:rtl w:val="0"/>
        </w:rPr>
        <w:t xml:space="preserve"> art teacher? When it comes to making art, there are a lot of scientific rules when it comes to making successful work. In terms of drawing for example, there are a lot of rules in regards to anatomy, perspective, proportions, and so much more. As one of my past art teachers said, “drawing is more of a science than it is an art.” This I affirm to be very true but where does this leave students? How will spending time learning all of these techniques benefit them if most aren’t planning to enter the creative field? </w:t>
      </w:r>
    </w:p>
    <w:p w:rsidR="00000000" w:rsidDel="00000000" w:rsidP="00000000" w:rsidRDefault="00000000" w:rsidRPr="00000000" w14:paraId="0000002E">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who are able to build technical art skills so that they have a “toolkit” to reach the end goals of art: expression, communication, and understanding of others. The “rules of art” can be stretched to communicate an idea to a viewer but one needs to learn the rules before they can break them. Once they develop a basic backbone of fundamental techniques, this asset can help students get the ideas stuck in their heads onto any material in front of them. A criticism to this might be, why not just skip the timely “art” part and go directly to teaching about expression, communication, and understanding of others? The answer is simple: ideas need a physical medium to pass through. For example, English has the written word, math has numbers, and science has experimentation. It irks me when someone says, “When are students going to need to paint, other than if they were becoming an artist?” To that I say when are students going to use the periodic table, other than if they were becoming a chemist? According to </w:t>
      </w:r>
      <w:r w:rsidDel="00000000" w:rsidR="00000000" w:rsidRPr="00000000">
        <w:rPr>
          <w:rFonts w:ascii="Times New Roman" w:cs="Times New Roman" w:eastAsia="Times New Roman" w:hAnsi="Times New Roman"/>
          <w:i w:val="1"/>
          <w:sz w:val="24"/>
          <w:szCs w:val="24"/>
          <w:rtl w:val="0"/>
        </w:rPr>
        <w:t xml:space="preserve">Does Experience in the Arts Boost Academic Achievement</w:t>
      </w:r>
      <w:r w:rsidDel="00000000" w:rsidR="00000000" w:rsidRPr="00000000">
        <w:rPr>
          <w:rFonts w:ascii="Times New Roman" w:cs="Times New Roman" w:eastAsia="Times New Roman" w:hAnsi="Times New Roman"/>
          <w:sz w:val="24"/>
          <w:szCs w:val="24"/>
          <w:rtl w:val="0"/>
        </w:rPr>
        <w:t xml:space="preserve">, the benefits of art go beyond simply helping out other subjects, there are skills that art can teach that can be taught anywhere else (Eisner 1998). There are many aspects about visual images that words or numbers can’t ever reach.</w:t>
      </w:r>
    </w:p>
    <w:p w:rsidR="00000000" w:rsidDel="00000000" w:rsidP="00000000" w:rsidRDefault="00000000" w:rsidRPr="00000000" w14:paraId="0000002F">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say that I am an art teacher it means that I teach arts advocacy. Even though art is an elective in high school, it doesn’t necessarily mean that students chose it out of passion in the arts. They may have chosen it because they wanted an “easy A” or there was nothing else available. When it comes for students to find meaning and purpose in art, I can’t preach or force them to enjoy it. In fact, research shows that there is a “backfire effect” that occurs when someone tries to convince another to their own side. According to the article, </w:t>
      </w:r>
      <w:r w:rsidDel="00000000" w:rsidR="00000000" w:rsidRPr="00000000">
        <w:rPr>
          <w:rFonts w:ascii="Times New Roman" w:cs="Times New Roman" w:eastAsia="Times New Roman" w:hAnsi="Times New Roman"/>
          <w:i w:val="1"/>
          <w:sz w:val="24"/>
          <w:szCs w:val="24"/>
          <w:rtl w:val="0"/>
        </w:rPr>
        <w:t xml:space="preserve">The Science of The Backfire Effect</w:t>
      </w:r>
      <w:r w:rsidDel="00000000" w:rsidR="00000000" w:rsidRPr="00000000">
        <w:rPr>
          <w:rFonts w:ascii="Times New Roman" w:cs="Times New Roman" w:eastAsia="Times New Roman" w:hAnsi="Times New Roman"/>
          <w:sz w:val="24"/>
          <w:szCs w:val="24"/>
          <w:rtl w:val="0"/>
        </w:rPr>
        <w:t xml:space="preserve">, we tend to defend our positions even more so when someone else challenges them (Chris Mooney 2011). Rather than trying to convince students why art is so important, I will find areas of their lives that they already value and connect them with art. The first reason arts advocacy is so important is that art is already a part of everybody’s lives, it’s just a matter of them realizing that. For example during a class discussion, I can ask students what made them choose what clothes to wear today. Another reason for its importance is that everyone should be artists. Even though most of my students won’t become professional artists, every career can be linked to visual creativity. For example, I could ask a student what they wanted to be when they grew up and connect it to the visual arts. In addition, the arts teaches students to be dedicated resilient learners. Art takes a lot of time and patience which is something we are losing as society values instant gratification more and more. There’s this saying I’ve heard artists say, “it takes 1000 bad drawings before you can make a good drawing.” What separates those who enjoy making art and those who don’t are the ones who stick with it despite having downfalls. I can show where my art was when I was their age and how I’ve overcome struggles that led me to be here.</w:t>
      </w:r>
    </w:p>
    <w:p w:rsidR="00000000" w:rsidDel="00000000" w:rsidP="00000000" w:rsidRDefault="00000000" w:rsidRPr="00000000" w14:paraId="00000030">
      <w:pPr>
        <w:spacing w:line="24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 say that I am an art teacher, it also means that I teach aesthetics. Aesthetics is a branch of philosophy that concerns itself with asking existential questions regarding visual arts.  I can show the difference between formalism and contextualism by presenting an activity. I will show them three paintings which are all optically the same. They are all completely red. The first one was an artist who painted their vision of the red sea, the second painted the eye of a demon, and the last one had a base coat of red but didn’t finish it. I’ll have students discuss and debate which one’s are “good” or “bad” or if they are all equally the same. I’ll then explain that according to a formalist approach, they are all the same, but from a contextualist they are not. </w:t>
      </w:r>
    </w:p>
    <w:p w:rsidR="00000000" w:rsidDel="00000000" w:rsidP="00000000" w:rsidRDefault="00000000" w:rsidRPr="00000000" w14:paraId="00000031">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reason why aesthetics is really important is so that we can be critically aware of our tastes and question why we like the things we do and the things we don’t. You can “survive” without having a curiosity for art, just like cavemen didn’t have to “survive" by exploring beyond Africa for the first time. Another reason to teach aesthetics is an ability to understand that there is no “consensus.”  I would teach this by showing many examples of both fine art and popular art and how they are both revearded and criticized. According to </w:t>
      </w:r>
      <w:r w:rsidDel="00000000" w:rsidR="00000000" w:rsidRPr="00000000">
        <w:rPr>
          <w:rFonts w:ascii="Times New Roman" w:cs="Times New Roman" w:eastAsia="Times New Roman" w:hAnsi="Times New Roman"/>
          <w:i w:val="1"/>
          <w:sz w:val="24"/>
          <w:szCs w:val="24"/>
          <w:rtl w:val="0"/>
        </w:rPr>
        <w:t xml:space="preserve">Lankford Aesthetics</w:t>
      </w:r>
      <w:r w:rsidDel="00000000" w:rsidR="00000000" w:rsidRPr="00000000">
        <w:rPr>
          <w:rFonts w:ascii="Times New Roman" w:cs="Times New Roman" w:eastAsia="Times New Roman" w:hAnsi="Times New Roman"/>
          <w:sz w:val="24"/>
          <w:szCs w:val="24"/>
          <w:rtl w:val="0"/>
        </w:rPr>
        <w:t xml:space="preserve">, pluralism is the concept that no one universal idea of aesthetic prevails over every kind of art (Lankford 1992). There is no final answer for questions that can be agreed by everyone in regards to art or even aspects of life in general. Lastly, aesthetics matters because art doesn’t have to be a certain way or another, just like people don’t have to be a certain way. In many schools, there is an obsession with having a standardized curriculum. But this only rewards students for generating ideas that align with standardized tests. There is value in differences and aesthetics encourages people to come up with their own unique ideas.</w:t>
      </w:r>
    </w:p>
    <w:p w:rsidR="00000000" w:rsidDel="00000000" w:rsidP="00000000" w:rsidRDefault="00000000" w:rsidRPr="00000000" w14:paraId="00000032">
      <w:pP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 teach art, it means that I teach multiculturalism. Multiculturalism can be about understanding the differences in art throughout cultures. But more importantly, it is about understanding the universal values that are similar. One error when teaching this is separating cultures into different “chunks.” This can be seen as dehumanizing, because it only reinforces the idea that cultures don’t interlace. When I teach multiculturalism, I want to teach about broad values and topics and then include how different groups of people respond to them. For example, I might have students create visual collages that integrate visual art images from around the world. There would be a central concept or idea that each student would hone in on. For example, it could be travel, celebration, mourning, faith, love, or other cultural universals. The reason why teaching multiculturalism is so vital is because you learn more by empathizing with others who may seem different from you at first. We have this “social bubble” which concerns itself with immediate cultural surroundings. Multiculturalism expands this by incorporating different perspectives of a variety of people. Another reason is that it is important to healthily critique and evaluate other cultures. This is different from the xenophobic idea of demonizing however, because what I'll teach seeks to understand ways cultures can improve. According to the article, </w:t>
      </w:r>
      <w:r w:rsidDel="00000000" w:rsidR="00000000" w:rsidRPr="00000000">
        <w:rPr>
          <w:rFonts w:ascii="Times New Roman" w:cs="Times New Roman" w:eastAsia="Times New Roman" w:hAnsi="Times New Roman"/>
          <w:i w:val="1"/>
          <w:sz w:val="24"/>
          <w:szCs w:val="24"/>
          <w:rtl w:val="0"/>
        </w:rPr>
        <w:t xml:space="preserve">Lemonade or Merlot? Authentic Multiculturalism and High Art</w:t>
      </w:r>
      <w:r w:rsidDel="00000000" w:rsidR="00000000" w:rsidRPr="00000000">
        <w:rPr>
          <w:rFonts w:ascii="Times New Roman" w:cs="Times New Roman" w:eastAsia="Times New Roman" w:hAnsi="Times New Roman"/>
          <w:sz w:val="24"/>
          <w:szCs w:val="24"/>
          <w:rtl w:val="0"/>
        </w:rPr>
        <w:t xml:space="preserve">, the author explains that students should understand that it’s okay to value different aspects of certain cultures more than others (Best 2002). A third reason is that multiculturalism is important in the arts so that we can expand our visual library. Our visual library is a term used by artists that is the culmination of everything you’ve seen throughout their lifetime. When you create things from imagination, you are not creating something from “nothing.” You are combining visual images in their head based on your life experiences. This is important not only for art, because creativity in general cannot survive in a vacuum.</w:t>
      </w:r>
    </w:p>
    <w:p w:rsidR="00000000" w:rsidDel="00000000" w:rsidP="00000000" w:rsidRDefault="00000000" w:rsidRPr="00000000" w14:paraId="00000033">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area within art that is important to teach is visual arts culture. It is an important area to teach because visual communication is all around us. Visual literacy is the ability to take in visual imagery and comprehend what it is telling us. One reason why this is important is because of the prevalence of visual images on social media. For an activity, I could have students design a fake website by using colored pencils to create a layout that will visually communicate with the user. They can also contemplate in groups how visual images on social media can connect people such as through memes, or how it can cause harm through extreme beauty standards. Another reason why visual literacy is vital is because as consumers, we are greatly affected by our emotions when we are purchasing goods. According to an article titled, </w:t>
      </w:r>
      <w:r w:rsidDel="00000000" w:rsidR="00000000" w:rsidRPr="00000000">
        <w:rPr>
          <w:rFonts w:ascii="Times New Roman" w:cs="Times New Roman" w:eastAsia="Times New Roman" w:hAnsi="Times New Roman"/>
          <w:i w:val="1"/>
          <w:sz w:val="24"/>
          <w:szCs w:val="24"/>
          <w:rtl w:val="0"/>
        </w:rPr>
        <w:t xml:space="preserve">Consumer Decision Making on the Web: A Theoretical Analysis and Research Guidelines</w:t>
      </w:r>
      <w:r w:rsidDel="00000000" w:rsidR="00000000" w:rsidRPr="00000000">
        <w:rPr>
          <w:rFonts w:ascii="Times New Roman" w:cs="Times New Roman" w:eastAsia="Times New Roman" w:hAnsi="Times New Roman"/>
          <w:sz w:val="24"/>
          <w:szCs w:val="24"/>
          <w:rtl w:val="0"/>
        </w:rPr>
        <w:t xml:space="preserve"> colors affect us greatly when purchasing items (Punj 2012). For example, the color red exacerbates energy and blue calms us down. While we like to believe we make decisions based on logic, it’s important for students to be aware that our emotions inadvertnly affect us. Lastly, instruction of visual arts culture helps students explore different areas of interest. A lot of the times we are creatures of habit and we tend to want to decorate our rooms, purchase the same items, or experience the same kind of art. By understanding the wider scope of how large culture really is, students can escape their comfort zone. </w:t>
      </w:r>
    </w:p>
    <w:p w:rsidR="00000000" w:rsidDel="00000000" w:rsidP="00000000" w:rsidRDefault="00000000" w:rsidRPr="00000000" w14:paraId="00000034">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when I say that I am an art teacher, it means that I (might) teach service learning and social justice. They are similar in the sense that they emplore reconstructive ideas that encourage society to change. The reason why I am hesitant in teaching these concepts is the fact that I don’t believe this is how education is meant to be. As an analogy from a past teacher I learned, there are knights and there are explorers. Knights are always concerned with defending their beliefs while explorers are curious and want their beliefs to be challenged. Service learning and social justice primarily fall into the former. We all have our beliefs on how students should act and how society should function, but in the end this isn’t something that we as teachers can (or should) control, which is in contrast to the article, </w:t>
      </w:r>
      <w:r w:rsidDel="00000000" w:rsidR="00000000" w:rsidRPr="00000000">
        <w:rPr>
          <w:rFonts w:ascii="Times New Roman" w:cs="Times New Roman" w:eastAsia="Times New Roman" w:hAnsi="Times New Roman"/>
          <w:i w:val="1"/>
          <w:sz w:val="24"/>
          <w:szCs w:val="24"/>
          <w:rtl w:val="0"/>
        </w:rPr>
        <w:t xml:space="preserve">Social Justice and Art Education</w:t>
      </w:r>
      <w:r w:rsidDel="00000000" w:rsidR="00000000" w:rsidRPr="00000000">
        <w:rPr>
          <w:rFonts w:ascii="Times New Roman" w:cs="Times New Roman" w:eastAsia="Times New Roman" w:hAnsi="Times New Roman"/>
          <w:sz w:val="24"/>
          <w:szCs w:val="24"/>
          <w:rtl w:val="0"/>
        </w:rPr>
        <w:t xml:space="preserve"> (Garber 2004). Even if students don’t make “good” decisions, it is more important that they make these decisions for themselves. However, I do understand the opposite perspective in that it is impossible to teach without any bias or morality. That is why I still found three benefits of teaching them. The first benefit is that service learning and social justice are natural byproducts of a successful multicultural education. If students are able to see the world critically by taking account their biases, they will be better equipped to solve world issues. A second reason is that service learning allows students to feel like they’ve made an impact on the world. I remember when I was a freshman in high school, we were able to draw a portrait based off of an Orphan in Haiti. When we were finished, we delivered the finished product to them. It made me feel good that I was going to make someone happy with my art, albeit the finished product probably wasn’t as good as I remembered. In terms of social justice, the benefit is allowing students to critically examine how certain artworks advantaged some works and disadvantaged others. I might show students an example of a “racist” artifact and have a discussion of how people might precieve said artwork as offensive to certain minorities. </w:t>
      </w:r>
    </w:p>
    <w:p w:rsidR="00000000" w:rsidDel="00000000" w:rsidP="00000000" w:rsidRDefault="00000000" w:rsidRPr="00000000" w14:paraId="00000035">
      <w:pPr>
        <w:spacing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 consider my role as an art teacher, I realize that first and foremost, I teach students. The various ways of approaching the subject of art will affect how my students view and experience life. When it comes to the purpose of education as a whole, it is both about being curious about the world around us  and about understanding ourselves. Education is not a luxury, it is a vital component to the cognitive development of all humans. Just like food and water allow our bodies to grow, education enriches minds.</w:t>
      </w:r>
    </w:p>
    <w:p w:rsidR="00000000" w:rsidDel="00000000" w:rsidP="00000000" w:rsidRDefault="00000000" w:rsidRPr="00000000" w14:paraId="00000036">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9">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A">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B">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C">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D">
      <w:pPr>
        <w:shd w:fill="ffffff" w:val="clear"/>
        <w:spacing w:after="300" w:before="100" w:line="480" w:lineRule="auto"/>
        <w:ind w:left="0" w:firstLine="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E">
      <w:pPr>
        <w:shd w:fill="ffffff" w:val="clear"/>
        <w:spacing w:after="300" w:before="100" w:line="480" w:lineRule="auto"/>
        <w:ind w:left="0" w:firstLine="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3F">
      <w:pPr>
        <w:shd w:fill="ffffff" w:val="clear"/>
        <w:spacing w:after="300" w:before="100" w:line="480" w:lineRule="auto"/>
        <w:ind w:left="0" w:firstLine="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40">
      <w:pPr>
        <w:shd w:fill="ffffff" w:val="clear"/>
        <w:spacing w:after="300" w:before="100" w:line="480" w:lineRule="auto"/>
        <w:ind w:left="0" w:firstLine="0"/>
        <w:rPr>
          <w:rFonts w:ascii="Times New Roman" w:cs="Times New Roman" w:eastAsia="Times New Roman" w:hAnsi="Times New Roman"/>
          <w:color w:val="323232"/>
          <w:sz w:val="24"/>
          <w:szCs w:val="24"/>
          <w:u w:val="single"/>
        </w:rPr>
      </w:pPr>
      <w:r w:rsidDel="00000000" w:rsidR="00000000" w:rsidRPr="00000000">
        <w:rPr>
          <w:rFonts w:ascii="Times New Roman" w:cs="Times New Roman" w:eastAsia="Times New Roman" w:hAnsi="Times New Roman"/>
          <w:color w:val="323232"/>
          <w:sz w:val="24"/>
          <w:szCs w:val="24"/>
          <w:u w:val="single"/>
          <w:rtl w:val="0"/>
        </w:rPr>
        <w:t xml:space="preserve">Bibliography:</w:t>
      </w:r>
    </w:p>
    <w:p w:rsidR="00000000" w:rsidDel="00000000" w:rsidP="00000000" w:rsidRDefault="00000000" w:rsidRPr="00000000" w14:paraId="00000041">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tl w:val="0"/>
        </w:rPr>
      </w:r>
    </w:p>
    <w:p w:rsidR="00000000" w:rsidDel="00000000" w:rsidP="00000000" w:rsidRDefault="00000000" w:rsidRPr="00000000" w14:paraId="00000042">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Best, H. M. (2002). Lemonade or Merlot? Authentic Multiculturalism and High Culture. </w:t>
      </w:r>
      <w:r w:rsidDel="00000000" w:rsidR="00000000" w:rsidRPr="00000000">
        <w:rPr>
          <w:rFonts w:ascii="Times New Roman" w:cs="Times New Roman" w:eastAsia="Times New Roman" w:hAnsi="Times New Roman"/>
          <w:i w:val="1"/>
          <w:color w:val="323232"/>
          <w:sz w:val="24"/>
          <w:szCs w:val="24"/>
          <w:rtl w:val="0"/>
        </w:rPr>
        <w:t xml:space="preserve">Arts Education Policy Review</w:t>
      </w:r>
      <w:r w:rsidDel="00000000" w:rsidR="00000000" w:rsidRPr="00000000">
        <w:rPr>
          <w:rFonts w:ascii="Times New Roman" w:cs="Times New Roman" w:eastAsia="Times New Roman" w:hAnsi="Times New Roman"/>
          <w:color w:val="323232"/>
          <w:sz w:val="24"/>
          <w:szCs w:val="24"/>
          <w:rtl w:val="0"/>
        </w:rPr>
        <w:t xml:space="preserve">, </w:t>
      </w:r>
      <w:r w:rsidDel="00000000" w:rsidR="00000000" w:rsidRPr="00000000">
        <w:rPr>
          <w:rFonts w:ascii="Times New Roman" w:cs="Times New Roman" w:eastAsia="Times New Roman" w:hAnsi="Times New Roman"/>
          <w:i w:val="1"/>
          <w:color w:val="323232"/>
          <w:sz w:val="24"/>
          <w:szCs w:val="24"/>
          <w:rtl w:val="0"/>
        </w:rPr>
        <w:t xml:space="preserve">104</w:t>
      </w:r>
      <w:r w:rsidDel="00000000" w:rsidR="00000000" w:rsidRPr="00000000">
        <w:rPr>
          <w:rFonts w:ascii="Times New Roman" w:cs="Times New Roman" w:eastAsia="Times New Roman" w:hAnsi="Times New Roman"/>
          <w:color w:val="323232"/>
          <w:sz w:val="24"/>
          <w:szCs w:val="24"/>
          <w:rtl w:val="0"/>
        </w:rPr>
        <w:t xml:space="preserve">(1), 3–10. doi: 10.1080/10632910209600033</w:t>
      </w:r>
    </w:p>
    <w:p w:rsidR="00000000" w:rsidDel="00000000" w:rsidP="00000000" w:rsidRDefault="00000000" w:rsidRPr="00000000" w14:paraId="00000043">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Eisner, E. W. (1998). Does Experience in the Arts Boost Academic Achievement? </w:t>
      </w:r>
      <w:r w:rsidDel="00000000" w:rsidR="00000000" w:rsidRPr="00000000">
        <w:rPr>
          <w:rFonts w:ascii="Times New Roman" w:cs="Times New Roman" w:eastAsia="Times New Roman" w:hAnsi="Times New Roman"/>
          <w:i w:val="1"/>
          <w:color w:val="323232"/>
          <w:sz w:val="24"/>
          <w:szCs w:val="24"/>
          <w:rtl w:val="0"/>
        </w:rPr>
        <w:t xml:space="preserve">Journal of Art &amp; Design Education</w:t>
      </w:r>
      <w:r w:rsidDel="00000000" w:rsidR="00000000" w:rsidRPr="00000000">
        <w:rPr>
          <w:rFonts w:ascii="Times New Roman" w:cs="Times New Roman" w:eastAsia="Times New Roman" w:hAnsi="Times New Roman"/>
          <w:color w:val="323232"/>
          <w:sz w:val="24"/>
          <w:szCs w:val="24"/>
          <w:rtl w:val="0"/>
        </w:rPr>
        <w:t xml:space="preserve">, </w:t>
      </w:r>
      <w:r w:rsidDel="00000000" w:rsidR="00000000" w:rsidRPr="00000000">
        <w:rPr>
          <w:rFonts w:ascii="Times New Roman" w:cs="Times New Roman" w:eastAsia="Times New Roman" w:hAnsi="Times New Roman"/>
          <w:i w:val="1"/>
          <w:color w:val="323232"/>
          <w:sz w:val="24"/>
          <w:szCs w:val="24"/>
          <w:rtl w:val="0"/>
        </w:rPr>
        <w:t xml:space="preserve">17</w:t>
      </w:r>
      <w:r w:rsidDel="00000000" w:rsidR="00000000" w:rsidRPr="00000000">
        <w:rPr>
          <w:rFonts w:ascii="Times New Roman" w:cs="Times New Roman" w:eastAsia="Times New Roman" w:hAnsi="Times New Roman"/>
          <w:color w:val="323232"/>
          <w:sz w:val="24"/>
          <w:szCs w:val="24"/>
          <w:rtl w:val="0"/>
        </w:rPr>
        <w:t xml:space="preserve">(1), 51–60. doi: 10.1111/1468-5949.00105</w:t>
      </w:r>
    </w:p>
    <w:p w:rsidR="00000000" w:rsidDel="00000000" w:rsidP="00000000" w:rsidRDefault="00000000" w:rsidRPr="00000000" w14:paraId="00000044">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Garber, E. (2004). Engaging Public Space: Art Education Pedagogies for Social Justice. </w:t>
      </w:r>
      <w:r w:rsidDel="00000000" w:rsidR="00000000" w:rsidRPr="00000000">
        <w:rPr>
          <w:rFonts w:ascii="Times New Roman" w:cs="Times New Roman" w:eastAsia="Times New Roman" w:hAnsi="Times New Roman"/>
          <w:i w:val="1"/>
          <w:color w:val="323232"/>
          <w:sz w:val="24"/>
          <w:szCs w:val="24"/>
          <w:rtl w:val="0"/>
        </w:rPr>
        <w:t xml:space="preserve">Social Justice and the Arts</w:t>
      </w:r>
      <w:r w:rsidDel="00000000" w:rsidR="00000000" w:rsidRPr="00000000">
        <w:rPr>
          <w:rFonts w:ascii="Times New Roman" w:cs="Times New Roman" w:eastAsia="Times New Roman" w:hAnsi="Times New Roman"/>
          <w:color w:val="323232"/>
          <w:sz w:val="24"/>
          <w:szCs w:val="24"/>
          <w:rtl w:val="0"/>
        </w:rPr>
        <w:t xml:space="preserve">, 61–76. doi: 10.4324/9781315087894-5</w:t>
      </w:r>
    </w:p>
    <w:p w:rsidR="00000000" w:rsidDel="00000000" w:rsidP="00000000" w:rsidRDefault="00000000" w:rsidRPr="00000000" w14:paraId="00000045">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Lankford, E. L., &amp; Kaelin, E. F. (1992). An Aesthetics for Art Educators. </w:t>
      </w:r>
      <w:r w:rsidDel="00000000" w:rsidR="00000000" w:rsidRPr="00000000">
        <w:rPr>
          <w:rFonts w:ascii="Times New Roman" w:cs="Times New Roman" w:eastAsia="Times New Roman" w:hAnsi="Times New Roman"/>
          <w:i w:val="1"/>
          <w:color w:val="323232"/>
          <w:sz w:val="24"/>
          <w:szCs w:val="24"/>
          <w:rtl w:val="0"/>
        </w:rPr>
        <w:t xml:space="preserve">Studies in Art Education</w:t>
      </w:r>
      <w:r w:rsidDel="00000000" w:rsidR="00000000" w:rsidRPr="00000000">
        <w:rPr>
          <w:rFonts w:ascii="Times New Roman" w:cs="Times New Roman" w:eastAsia="Times New Roman" w:hAnsi="Times New Roman"/>
          <w:color w:val="323232"/>
          <w:sz w:val="24"/>
          <w:szCs w:val="24"/>
          <w:rtl w:val="0"/>
        </w:rPr>
        <w:t xml:space="preserve">, </w:t>
      </w:r>
      <w:r w:rsidDel="00000000" w:rsidR="00000000" w:rsidRPr="00000000">
        <w:rPr>
          <w:rFonts w:ascii="Times New Roman" w:cs="Times New Roman" w:eastAsia="Times New Roman" w:hAnsi="Times New Roman"/>
          <w:i w:val="1"/>
          <w:color w:val="323232"/>
          <w:sz w:val="24"/>
          <w:szCs w:val="24"/>
          <w:rtl w:val="0"/>
        </w:rPr>
        <w:t xml:space="preserve">33</w:t>
      </w:r>
      <w:r w:rsidDel="00000000" w:rsidR="00000000" w:rsidRPr="00000000">
        <w:rPr>
          <w:rFonts w:ascii="Times New Roman" w:cs="Times New Roman" w:eastAsia="Times New Roman" w:hAnsi="Times New Roman"/>
          <w:color w:val="323232"/>
          <w:sz w:val="24"/>
          <w:szCs w:val="24"/>
          <w:rtl w:val="0"/>
        </w:rPr>
        <w:t xml:space="preserve">(3), 186. doi: 10.2307/1320900</w:t>
      </w:r>
    </w:p>
    <w:p w:rsidR="00000000" w:rsidDel="00000000" w:rsidP="00000000" w:rsidRDefault="00000000" w:rsidRPr="00000000" w14:paraId="00000046">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Mooney, C. (2017, June 26). The Science of Why We Don't Believe Science. Retrieved from https://www.motherjones.com/politics/2011/04/denial-science-chris-mooney/</w:t>
      </w:r>
    </w:p>
    <w:p w:rsidR="00000000" w:rsidDel="00000000" w:rsidP="00000000" w:rsidRDefault="00000000" w:rsidRPr="00000000" w14:paraId="00000047">
      <w:pPr>
        <w:shd w:fill="ffffff" w:val="clear"/>
        <w:spacing w:after="300" w:before="100" w:line="480" w:lineRule="auto"/>
        <w:ind w:left="620" w:hanging="320"/>
        <w:rPr>
          <w:rFonts w:ascii="Times New Roman" w:cs="Times New Roman" w:eastAsia="Times New Roman" w:hAnsi="Times New Roman"/>
          <w:color w:val="323232"/>
          <w:sz w:val="24"/>
          <w:szCs w:val="24"/>
        </w:rPr>
      </w:pPr>
      <w:r w:rsidDel="00000000" w:rsidR="00000000" w:rsidRPr="00000000">
        <w:rPr>
          <w:rFonts w:ascii="Times New Roman" w:cs="Times New Roman" w:eastAsia="Times New Roman" w:hAnsi="Times New Roman"/>
          <w:color w:val="323232"/>
          <w:sz w:val="24"/>
          <w:szCs w:val="24"/>
          <w:rtl w:val="0"/>
        </w:rPr>
        <w:t xml:space="preserve">Punj, G. (2012). Consumer Decision Making on the Web: A Theoretical Analysis and Research Guidelines. </w:t>
      </w:r>
      <w:r w:rsidDel="00000000" w:rsidR="00000000" w:rsidRPr="00000000">
        <w:rPr>
          <w:rFonts w:ascii="Times New Roman" w:cs="Times New Roman" w:eastAsia="Times New Roman" w:hAnsi="Times New Roman"/>
          <w:i w:val="1"/>
          <w:color w:val="323232"/>
          <w:sz w:val="24"/>
          <w:szCs w:val="24"/>
          <w:rtl w:val="0"/>
        </w:rPr>
        <w:t xml:space="preserve">Psychology &amp; Marketing</w:t>
      </w:r>
      <w:r w:rsidDel="00000000" w:rsidR="00000000" w:rsidRPr="00000000">
        <w:rPr>
          <w:rFonts w:ascii="Times New Roman" w:cs="Times New Roman" w:eastAsia="Times New Roman" w:hAnsi="Times New Roman"/>
          <w:color w:val="323232"/>
          <w:sz w:val="24"/>
          <w:szCs w:val="24"/>
          <w:rtl w:val="0"/>
        </w:rPr>
        <w:t xml:space="preserve">, </w:t>
      </w:r>
      <w:r w:rsidDel="00000000" w:rsidR="00000000" w:rsidRPr="00000000">
        <w:rPr>
          <w:rFonts w:ascii="Times New Roman" w:cs="Times New Roman" w:eastAsia="Times New Roman" w:hAnsi="Times New Roman"/>
          <w:i w:val="1"/>
          <w:color w:val="323232"/>
          <w:sz w:val="24"/>
          <w:szCs w:val="24"/>
          <w:rtl w:val="0"/>
        </w:rPr>
        <w:t xml:space="preserve">29</w:t>
      </w:r>
      <w:r w:rsidDel="00000000" w:rsidR="00000000" w:rsidRPr="00000000">
        <w:rPr>
          <w:rFonts w:ascii="Times New Roman" w:cs="Times New Roman" w:eastAsia="Times New Roman" w:hAnsi="Times New Roman"/>
          <w:color w:val="323232"/>
          <w:sz w:val="24"/>
          <w:szCs w:val="24"/>
          <w:rtl w:val="0"/>
        </w:rPr>
        <w:t xml:space="preserve">(10), 791–803. doi: 10.1002/mar.20564</w:t>
      </w:r>
    </w:p>
    <w:p w:rsidR="00000000" w:rsidDel="00000000" w:rsidP="00000000" w:rsidRDefault="00000000" w:rsidRPr="00000000" w14:paraId="00000048">
      <w:pPr>
        <w:ind w:firstLine="72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